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6" w:rsidRPr="00851CC6" w:rsidRDefault="00851CC6" w:rsidP="00851C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1CC6">
        <w:rPr>
          <w:rFonts w:ascii="Arial" w:eastAsia="Times New Roman" w:hAnsi="Arial" w:cs="Arial"/>
          <w:b/>
          <w:sz w:val="32"/>
          <w:szCs w:val="32"/>
          <w:lang w:eastAsia="ru-RU"/>
        </w:rPr>
        <w:t>29.12.2020г. №80</w:t>
      </w:r>
    </w:p>
    <w:p w:rsidR="00851CC6" w:rsidRPr="00851CC6" w:rsidRDefault="00851CC6" w:rsidP="00851C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1CC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51CC6" w:rsidRPr="00851CC6" w:rsidRDefault="00851CC6" w:rsidP="00851C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1CC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51CC6" w:rsidRPr="00851CC6" w:rsidRDefault="00851CC6" w:rsidP="00851C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1CC6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851CC6" w:rsidRPr="00851CC6" w:rsidRDefault="00851CC6" w:rsidP="00851C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1CC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«КАМЕНКА»</w:t>
      </w:r>
    </w:p>
    <w:p w:rsidR="00851CC6" w:rsidRPr="00851CC6" w:rsidRDefault="00851CC6" w:rsidP="00851C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1CC6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851CC6" w:rsidRPr="00851CC6" w:rsidRDefault="00851CC6" w:rsidP="00851C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CC6" w:rsidRPr="00851CC6" w:rsidRDefault="00851CC6" w:rsidP="00851C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1CC6">
        <w:rPr>
          <w:rFonts w:ascii="Arial" w:eastAsia="Times New Roman" w:hAnsi="Arial" w:cs="Arial"/>
          <w:b/>
          <w:sz w:val="32"/>
          <w:szCs w:val="32"/>
          <w:lang w:eastAsia="ru-RU"/>
        </w:rPr>
        <w:t>О  БЮДЖЕТЕ МУНИЦИПАЛЬНОГО ОБРАЗОВАНИЯ «КАМЕНКА» НА 2021 ГОД И ПЛАНОВЫЙ ПЕРИОД 2022</w:t>
      </w:r>
      <w:proofErr w:type="gramStart"/>
      <w:r w:rsidRPr="00851CC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851CC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2023 ГОДОВ</w:t>
      </w:r>
    </w:p>
    <w:p w:rsidR="00851CC6" w:rsidRPr="00851CC6" w:rsidRDefault="00851CC6" w:rsidP="00851C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CC6" w:rsidRPr="00851CC6" w:rsidRDefault="00851CC6" w:rsidP="00851CC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51CC6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851CC6" w:rsidRPr="00851CC6" w:rsidRDefault="00851CC6" w:rsidP="00851C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CC6" w:rsidRPr="00851CC6" w:rsidRDefault="00851CC6" w:rsidP="00851CC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1.Принять бюджет муниципального образования «Каменка» на 2021 год и плановый период 2022 и 2023 годов: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Статья 1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1. Утвердить основные характеристики местного бюджета на 2021 год:</w:t>
      </w:r>
    </w:p>
    <w:p w:rsidR="00851CC6" w:rsidRPr="00851CC6" w:rsidRDefault="00851CC6" w:rsidP="00851C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в сумме 16363,9 тыс. руб., в том числе безвозмездные поступления в сумме 10778,7 тыс. руб.;</w:t>
      </w:r>
    </w:p>
    <w:p w:rsidR="00851CC6" w:rsidRPr="00851CC6" w:rsidRDefault="00851CC6" w:rsidP="00851C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местного бюджета в сумме 16642,9 тыс. руб.; 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размер дефицита местного бюджета в сумме 279,0 тыс. руб., или 5 % утвержденного общего годового объема доходов бюджета МО «Каменка» без учета утвержденного объема безвозмездных поступлений.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2. Утвердить основные характеристики местного бюджета на плановый период 2022 и 2023 годов: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1CC6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на 2022 год в сумме 14610,9 тыс. руб., в том числе безвозмездные поступления в сумме 10555,2 тыс. руб., общий объем расходов местного бюджета в сумме 14812,9 тыс. руб., в том числе условно утвержденные расходы в сумме 358,4 тыс. руб., размер дефицита местного бюджета в сумме 202,0 тыс. руб., или 5 % утвержденного общего годового объема доходов</w:t>
      </w:r>
      <w:proofErr w:type="gramEnd"/>
      <w:r w:rsidRPr="00851CC6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МО «Каменка» без учета утвержденного объема безвозмездных поступлений;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1CC6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на 2023 год в сумме 14311,1 тыс. руб., в том числе безвозмездные поступления в сумме 10117,9 тыс. руб., общий объем расходов местного бюджета в сумме 1451,1 тыс. руб., в том числе условно утвержденные расходы в сумме 701,9 тыс. руб.; размер дефицита местного бюджета в сумме 210,0 тыс. руб., или 5 % утвержденного общего годового объема доходов</w:t>
      </w:r>
      <w:proofErr w:type="gramEnd"/>
      <w:r w:rsidRPr="00851CC6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МО «Каменка» без учета утвержденного объема безвозмездных поступлений.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Статья 2</w:t>
      </w:r>
    </w:p>
    <w:p w:rsidR="00851CC6" w:rsidRPr="00851CC6" w:rsidRDefault="00851CC6" w:rsidP="00851C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Установить, что доходы местного бюджета, поступающие в 2021 – 2023 годах, формируются за счет:</w:t>
      </w:r>
    </w:p>
    <w:p w:rsidR="00851CC6" w:rsidRPr="00851CC6" w:rsidRDefault="00851CC6" w:rsidP="00851C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1) налоговых доходов, в том числе:</w:t>
      </w:r>
    </w:p>
    <w:p w:rsidR="00851CC6" w:rsidRPr="00851CC6" w:rsidRDefault="00851CC6" w:rsidP="00851C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доходов от региональных налогов в соответствии с нормативами, установленными Бюджетным кодексом Российской Федерации и региональными законами;</w:t>
      </w:r>
    </w:p>
    <w:p w:rsidR="00851CC6" w:rsidRPr="00851CC6" w:rsidRDefault="00851CC6" w:rsidP="00851C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 xml:space="preserve">доходов от федеральных налогов и сборов в соответствии с нормативами, установленными Бюджетным кодексом Российской Федерации и Федеральным </w:t>
      </w:r>
      <w:r w:rsidRPr="00851C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законом «О федеральном бюджете на 2021 год и на плановый период 2022 и 2023 годов»;</w:t>
      </w:r>
    </w:p>
    <w:p w:rsidR="00851CC6" w:rsidRPr="00851CC6" w:rsidRDefault="00851CC6" w:rsidP="00851C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851CC6" w:rsidRPr="00851CC6" w:rsidRDefault="00851CC6" w:rsidP="00851C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Статья 3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Установить прогнозируемые доходы местного бюджета на 2021 год и на плановый период 2022 и 2023 годов по классификации доходов бюджетов Российской Федерации согласно приложениям 1 и 2 к настоящему Решению.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Статья 4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1. Утвердить перечень главных администраторов доходов местного бюджета согласно приложению 5.1,5.2 к настоящему Решению.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перечень главных </w:t>
      </w:r>
      <w:proofErr w:type="gramStart"/>
      <w:r w:rsidRPr="00851CC6">
        <w:rPr>
          <w:rFonts w:ascii="Arial" w:eastAsia="Times New Roman" w:hAnsi="Arial" w:cs="Arial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851CC6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7 к настоящему Решению.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Администраторы бюджета муниципального образования осуществляют в соответствии с законодательством РФ, Иркутской области, правовым актом МО «Каменка» </w:t>
      </w:r>
      <w:proofErr w:type="gramStart"/>
      <w:r w:rsidRPr="00851CC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51CC6">
        <w:rPr>
          <w:rFonts w:ascii="Arial" w:eastAsia="Times New Roman" w:hAnsi="Arial" w:cs="Arial"/>
          <w:sz w:val="24"/>
          <w:szCs w:val="24"/>
          <w:lang w:eastAsia="ru-RU"/>
        </w:rPr>
        <w:t xml:space="preserve">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3. В случае изменения в 2021 году и плановом периоде 2022 и 2023 годов состава и (или) функций администраторов доходов местного бюджета финансовый орган муниципального района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Статья 5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Установить распределение бюджетных ассигнований по разделам, подразделам классификации расходов бюджетов на 2021 год и плановый период 2022 и 2022 годов согласно приложениям 3.1,3.2 к настоящему Решению.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Статья 6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МО «Каменка» на 2021 год и на плановый период 2022 и 2023 годов согласно приложениям 4, 4.1 к настоящему Решению.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Статья 7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Установить объем резервного фонда бюджета МО «Каменка»: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в 2021 году в размере 9,0 тыс. рублей;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в 2022 году в размере 9,0 тыс. рублей;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в 2023 году в размере 9,0 тыс. рублей.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Статья 8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Установить объем дорожного фонда бюджета МО «Каменка»: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в 2021 году в размере 1483,0 тыс. рублей;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в 2022 году в размере 1543,3 тыс. рублей;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в 2023 году в размере 1642,8 тыс. рублей.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Статья 9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внесение изменений в установленном порядке в государственные программы Иркутской области;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2) в случае увеличения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государственных услуг;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3) внесение изменений в Указания о порядке применения бюджетной классификации Российской Федерации, утвержденные Министерством финансов Российской Федерации;</w:t>
      </w:r>
    </w:p>
    <w:p w:rsidR="00851CC6" w:rsidRPr="00851CC6" w:rsidRDefault="00851CC6" w:rsidP="00851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4) ликвидация, реорганизация, изменение наименования органов власти МО «Каменка», бюджетных и казенных учреждений;</w:t>
      </w:r>
    </w:p>
    <w:p w:rsidR="00851CC6" w:rsidRPr="00851CC6" w:rsidRDefault="00851CC6" w:rsidP="00851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 xml:space="preserve">5) уточнение </w:t>
      </w:r>
      <w:proofErr w:type="gramStart"/>
      <w:r w:rsidRPr="00851CC6">
        <w:rPr>
          <w:rFonts w:ascii="Arial" w:eastAsia="Times New Roman" w:hAnsi="Arial" w:cs="Arial"/>
          <w:sz w:val="24"/>
          <w:szCs w:val="24"/>
          <w:lang w:eastAsia="ru-RU"/>
        </w:rPr>
        <w:t>кодов видов расходов классификации расходов бюджетов</w:t>
      </w:r>
      <w:proofErr w:type="gramEnd"/>
      <w:r w:rsidRPr="00851CC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51CC6" w:rsidRPr="00851CC6" w:rsidRDefault="00851CC6" w:rsidP="00851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1CC6">
        <w:rPr>
          <w:rFonts w:ascii="Arial" w:eastAsia="Times New Roman" w:hAnsi="Arial" w:cs="Arial"/>
          <w:sz w:val="24"/>
          <w:szCs w:val="24"/>
          <w:lang w:eastAsia="ru-RU"/>
        </w:rPr>
        <w:t xml:space="preserve">6)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851CC6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851CC6">
        <w:rPr>
          <w:rFonts w:ascii="Arial" w:eastAsia="Times New Roman" w:hAnsi="Arial" w:cs="Arial"/>
          <w:sz w:val="24"/>
          <w:szCs w:val="24"/>
          <w:lang w:eastAsia="ru-RU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– в пределах объема бюджетных ассигнований, предусмотренных соответствующему главному распорядителю средств местного бюджета.</w:t>
      </w:r>
      <w:proofErr w:type="gramEnd"/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Статья 10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1. Установить предельный объем муниципального долга МО «Каменка»: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 xml:space="preserve">на 2021 год в размере 2792,7 тыс. руб.; 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на 2022 год в размере 2027,9, тыс. руб.;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на 2023 год в размере 2096,6 тыс. руб.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2. Установить верхний предел муниципального долга МО «Каменка»: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 xml:space="preserve"> по состоянию на 1 января 2022 года в размере 279,0 тыс. руб., в том числе верхний предел долга по муниципальным гарантиям – 0 тыс. руб.;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2023 года в размере 481,0 тыс. руб., в том числе верхний предел долга по муниципальным гарантиям – 0 тыс. руб.;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2024 года в размере 691,0 тыс. руб., в том числе верхний предел долга по муниципальным гарантиям – 0 тыс. руб.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3. Утвердить программу внутренних заимствований МО «Каменка» на 2021 год и на плановый период 2022 и 2023 годов согласно приложению 8 к настоящему Решению.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Статья 11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Установить источники внутреннего финансирования дефицита бюджета МО «Каменка» на 2021 год и на плановый период 2022 и 2023 годов согласно приложениям 2.1, 2.2 к настоящему Решению.</w:t>
      </w:r>
    </w:p>
    <w:p w:rsidR="00851CC6" w:rsidRPr="00851CC6" w:rsidRDefault="00851CC6" w:rsidP="00851C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1CC6">
        <w:rPr>
          <w:rFonts w:ascii="Arial" w:eastAsia="Times New Roman" w:hAnsi="Arial" w:cs="Arial"/>
          <w:sz w:val="24"/>
          <w:szCs w:val="24"/>
        </w:rPr>
        <w:t>Статья 12</w:t>
      </w:r>
    </w:p>
    <w:p w:rsidR="00851CC6" w:rsidRPr="00851CC6" w:rsidRDefault="00851CC6" w:rsidP="0085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опубликования, но не ранее 1 января 2021 года.</w:t>
      </w:r>
    </w:p>
    <w:p w:rsidR="00851CC6" w:rsidRPr="00851CC6" w:rsidRDefault="00851CC6" w:rsidP="00851C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CC6" w:rsidRPr="00851CC6" w:rsidRDefault="00851CC6" w:rsidP="00851C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851CC6" w:rsidRPr="00851CC6" w:rsidRDefault="00851CC6" w:rsidP="00851C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1CC6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«Каменка»</w:t>
      </w:r>
    </w:p>
    <w:p w:rsidR="00851CC6" w:rsidRPr="00851CC6" w:rsidRDefault="00851CC6" w:rsidP="00851C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51CC6">
        <w:rPr>
          <w:rFonts w:ascii="Arial" w:eastAsia="Calibri" w:hAnsi="Arial" w:cs="Arial"/>
          <w:sz w:val="24"/>
          <w:szCs w:val="24"/>
        </w:rPr>
        <w:t>В.Н.Артанов</w:t>
      </w:r>
      <w:proofErr w:type="spellEnd"/>
    </w:p>
    <w:p w:rsidR="000E5781" w:rsidRDefault="00851CC6">
      <w:r w:rsidRPr="00851CC6">
        <w:rPr>
          <w:noProof/>
          <w:lang w:eastAsia="ru-RU"/>
        </w:rPr>
        <w:lastRenderedPageBreak/>
        <w:drawing>
          <wp:inline distT="0" distB="0" distL="0" distR="0" wp14:anchorId="01E28CEA" wp14:editId="6B448F9F">
            <wp:extent cx="5940425" cy="88987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5D4" w:rsidRPr="007B05D4">
        <w:lastRenderedPageBreak/>
        <w:drawing>
          <wp:inline distT="0" distB="0" distL="0" distR="0" wp14:anchorId="1F421269" wp14:editId="44C9144B">
            <wp:extent cx="5940425" cy="8914614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CC6">
        <w:rPr>
          <w:noProof/>
          <w:lang w:eastAsia="ru-RU"/>
        </w:rPr>
        <w:lastRenderedPageBreak/>
        <w:drawing>
          <wp:inline distT="0" distB="0" distL="0" distR="0" wp14:anchorId="591622D4" wp14:editId="4143176D">
            <wp:extent cx="5940425" cy="1069612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9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5D4" w:rsidRPr="007B05D4">
        <w:lastRenderedPageBreak/>
        <w:drawing>
          <wp:inline distT="0" distB="0" distL="0" distR="0" wp14:anchorId="632F9865" wp14:editId="33F65367">
            <wp:extent cx="5940425" cy="962348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2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ACF" w:rsidRPr="006D7ACF">
        <w:rPr>
          <w:noProof/>
          <w:lang w:eastAsia="ru-RU"/>
        </w:rPr>
        <w:lastRenderedPageBreak/>
        <w:drawing>
          <wp:inline distT="0" distB="0" distL="0" distR="0" wp14:anchorId="2ED5064C" wp14:editId="3D5F67ED">
            <wp:extent cx="5940425" cy="535021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5D4" w:rsidRPr="007B05D4">
        <w:lastRenderedPageBreak/>
        <w:drawing>
          <wp:inline distT="0" distB="0" distL="0" distR="0" wp14:anchorId="77D0060F" wp14:editId="028556A7">
            <wp:extent cx="5940425" cy="3960283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ACF" w:rsidRPr="006D7ACF">
        <w:rPr>
          <w:noProof/>
          <w:lang w:eastAsia="ru-RU"/>
        </w:rPr>
        <w:lastRenderedPageBreak/>
        <w:drawing>
          <wp:inline distT="0" distB="0" distL="0" distR="0" wp14:anchorId="7DB970ED" wp14:editId="4E2E2A09">
            <wp:extent cx="5940425" cy="9540683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4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781" w:rsidRPr="000E5781">
        <w:lastRenderedPageBreak/>
        <w:drawing>
          <wp:inline distT="0" distB="0" distL="0" distR="0" wp14:anchorId="29976808" wp14:editId="307ECEAD">
            <wp:extent cx="5940425" cy="7394036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ACF" w:rsidRPr="006D7ACF">
        <w:rPr>
          <w:noProof/>
          <w:lang w:eastAsia="ru-RU"/>
        </w:rPr>
        <w:lastRenderedPageBreak/>
        <w:drawing>
          <wp:inline distT="0" distB="0" distL="0" distR="0" wp14:anchorId="3C0E5856" wp14:editId="0D5FAC51">
            <wp:extent cx="5940425" cy="8610554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781" w:rsidRPr="000E5781">
        <w:lastRenderedPageBreak/>
        <w:drawing>
          <wp:inline distT="0" distB="0" distL="0" distR="0" wp14:anchorId="3D6F8A05" wp14:editId="7B0EAD1E">
            <wp:extent cx="5940425" cy="8641175"/>
            <wp:effectExtent l="0" t="0" r="317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ACF" w:rsidRPr="006D7ACF">
        <w:rPr>
          <w:noProof/>
          <w:lang w:eastAsia="ru-RU"/>
        </w:rPr>
        <w:lastRenderedPageBreak/>
        <w:drawing>
          <wp:inline distT="0" distB="0" distL="0" distR="0">
            <wp:extent cx="5362575" cy="37338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81" w:rsidRDefault="000E5781"/>
    <w:p w:rsidR="000E5781" w:rsidRDefault="000E5781"/>
    <w:p w:rsidR="000E5781" w:rsidRDefault="000E5781"/>
    <w:p w:rsidR="000E5781" w:rsidRDefault="000E5781"/>
    <w:p w:rsidR="000E5781" w:rsidRDefault="000E5781"/>
    <w:p w:rsidR="000E5781" w:rsidRDefault="000E5781"/>
    <w:p w:rsidR="000E5781" w:rsidRDefault="000E5781"/>
    <w:p w:rsidR="000E5781" w:rsidRDefault="000E5781"/>
    <w:p w:rsidR="000E5781" w:rsidRDefault="000E5781"/>
    <w:p w:rsidR="006D7ACF" w:rsidRDefault="000E5781">
      <w:r w:rsidRPr="000E5781">
        <w:lastRenderedPageBreak/>
        <w:drawing>
          <wp:inline distT="0" distB="0" distL="0" distR="0">
            <wp:extent cx="5362575" cy="2924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CF" w:rsidRDefault="006D7ACF"/>
    <w:p w:rsidR="006D7ACF" w:rsidRDefault="006D7ACF"/>
    <w:p w:rsidR="006D7ACF" w:rsidRDefault="006D7ACF"/>
    <w:p w:rsidR="006D7ACF" w:rsidRDefault="006D7ACF"/>
    <w:p w:rsidR="006D7ACF" w:rsidRDefault="006D7ACF"/>
    <w:p w:rsidR="006D7ACF" w:rsidRDefault="006D7ACF"/>
    <w:p w:rsidR="006D7ACF" w:rsidRDefault="006D7ACF"/>
    <w:p w:rsidR="006D7ACF" w:rsidRDefault="006D7ACF"/>
    <w:p w:rsidR="006D7ACF" w:rsidRDefault="006D7ACF"/>
    <w:p w:rsidR="006D7ACF" w:rsidRDefault="006D7ACF"/>
    <w:p w:rsidR="006D7ACF" w:rsidRDefault="006D7ACF"/>
    <w:p w:rsidR="000E5781" w:rsidRDefault="006D7ACF" w:rsidP="006D7ACF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7ACF">
        <w:rPr>
          <w:noProof/>
          <w:lang w:eastAsia="ru-RU"/>
        </w:rPr>
        <w:lastRenderedPageBreak/>
        <w:drawing>
          <wp:inline distT="0" distB="0" distL="0" distR="0" wp14:anchorId="1E188861" wp14:editId="2E34B978">
            <wp:extent cx="5940425" cy="2845713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81" w:rsidRDefault="000E5781" w:rsidP="006D7ACF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5781" w:rsidRDefault="000E5781" w:rsidP="006D7ACF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5781">
        <w:drawing>
          <wp:inline distT="0" distB="0" distL="0" distR="0" wp14:anchorId="2136242D" wp14:editId="351690EA">
            <wp:extent cx="5940425" cy="2482884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CF" w:rsidRDefault="006D7ACF" w:rsidP="006D7ACF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6D7ACF">
        <w:rPr>
          <w:noProof/>
          <w:lang w:eastAsia="ru-RU"/>
        </w:rPr>
        <w:lastRenderedPageBreak/>
        <w:drawing>
          <wp:inline distT="0" distB="0" distL="0" distR="0" wp14:anchorId="37BC0E54" wp14:editId="447E8F45">
            <wp:extent cx="5940425" cy="6533620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3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CF" w:rsidRDefault="006D7ACF" w:rsidP="006D7ACF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7ACF" w:rsidRDefault="006D7ACF" w:rsidP="006D7ACF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7ACF" w:rsidRDefault="006D7ACF" w:rsidP="006D7ACF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7ACF" w:rsidRDefault="006D7ACF" w:rsidP="006D7ACF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7ACF" w:rsidRDefault="006D7ACF" w:rsidP="006D7ACF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7ACF" w:rsidRDefault="006D7ACF" w:rsidP="006D7ACF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7ACF" w:rsidRDefault="006D7ACF" w:rsidP="006D7ACF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7ACF" w:rsidRDefault="006D7ACF" w:rsidP="006D7ACF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7ACF" w:rsidRDefault="006D7ACF" w:rsidP="006D7ACF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7ACF" w:rsidRDefault="006D7ACF" w:rsidP="006D7ACF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7ACF" w:rsidRDefault="006D7ACF" w:rsidP="006D7ACF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7ACF" w:rsidRDefault="006D7ACF" w:rsidP="006D7ACF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7ACF" w:rsidRPr="006D7ACF" w:rsidRDefault="006D7ACF" w:rsidP="006D7AC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ПОЯСНИТЕЛЬНАЯ ЗАПИСКА</w:t>
      </w:r>
    </w:p>
    <w:p w:rsidR="006D7ACF" w:rsidRPr="006D7ACF" w:rsidRDefault="006D7ACF" w:rsidP="006D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  проекту бюджета  муниципального образования «Каменка» </w:t>
      </w:r>
    </w:p>
    <w:p w:rsidR="006D7ACF" w:rsidRPr="006D7ACF" w:rsidRDefault="006D7ACF" w:rsidP="006D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2021 год и плановый период 2022 и 2023 годов</w:t>
      </w:r>
    </w:p>
    <w:p w:rsidR="006D7ACF" w:rsidRPr="006D7ACF" w:rsidRDefault="006D7ACF" w:rsidP="006D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CF" w:rsidRPr="006D7ACF" w:rsidRDefault="006D7ACF" w:rsidP="006D7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основных параметров бюджета муниципального образования «Каменка» на 2021 год и плановый период 2022 и 2023 годов осуществлено в соответствии с требованиями действующего бюджетного и налогового законодательства с учетом планируемых с 2021 года изменений. Также учтены ожидаемые параметры исполнения бюджета за 2020 год.</w:t>
      </w:r>
    </w:p>
    <w:p w:rsidR="006D7ACF" w:rsidRPr="006D7ACF" w:rsidRDefault="006D7ACF" w:rsidP="006D7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закона подготовлен в соответствии с требованиями Бюджетного кодекса Российской Федерации и решения Думы муниципального образования «Каменка» от </w:t>
      </w:r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28.11.2018года №9 «Положения о бюджетном процессе в МО «Каменка».</w:t>
      </w:r>
    </w:p>
    <w:p w:rsidR="006D7ACF" w:rsidRPr="006D7ACF" w:rsidRDefault="006D7ACF" w:rsidP="006D7ACF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ДОХОДЫ </w:t>
      </w:r>
    </w:p>
    <w:p w:rsidR="006D7ACF" w:rsidRPr="006D7ACF" w:rsidRDefault="006D7ACF" w:rsidP="006D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7ACF" w:rsidRPr="006D7ACF" w:rsidRDefault="006D7ACF" w:rsidP="006D7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муниципального  образования  на  2021 год планируются в сумме 16363,9 тыс. рублей, на 2022 год – 14610,9 тыс. рублей, на 2023 год – 14311,1 тыс. рублей.</w:t>
      </w:r>
    </w:p>
    <w:p w:rsidR="006D7ACF" w:rsidRPr="006D7ACF" w:rsidRDefault="006D7ACF" w:rsidP="006D7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помощь из районного бюджета в бюджет поселения на 2021-2023 годы включена на основании  данных Решения Думы «О бюджете МО «</w:t>
      </w:r>
      <w:proofErr w:type="spellStart"/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2021 год и плановый период 2022 и 2023 годов» в сумме 10303,0 тыс. рублей, 10078,0 тыс. рублей, 9635,0 тыс. рублей соответственно.</w:t>
      </w:r>
    </w:p>
    <w:p w:rsidR="006D7ACF" w:rsidRPr="006D7ACF" w:rsidRDefault="006D7ACF" w:rsidP="006D7AC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бюджетам поселений на выполнение передаваемых полномочий субъектов РФ по водоснабжению и водоотведению на 2021-2023 годы – 47,8 </w:t>
      </w:r>
      <w:proofErr w:type="spellStart"/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47,8 тыс. руб., 47,8 </w:t>
      </w:r>
      <w:proofErr w:type="spellStart"/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</w:p>
    <w:p w:rsidR="006D7ACF" w:rsidRPr="006D7ACF" w:rsidRDefault="006D7ACF" w:rsidP="006D7AC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 на 2021-2023 годы – 700 рублей, 700 рублей, 700 рублей соответственно;</w:t>
      </w:r>
    </w:p>
    <w:p w:rsidR="006D7ACF" w:rsidRPr="006D7ACF" w:rsidRDefault="006D7ACF" w:rsidP="006D7AC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субвенции </w:t>
      </w:r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бюджетам поселений на осуществление первичного воинского учета на территориях, где отсутствуют военные комиссариаты на 2021-2023 годы – 137,3 тыс. рублей, 138,8 </w:t>
      </w:r>
      <w:proofErr w:type="spellStart"/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144,5 </w:t>
      </w:r>
      <w:proofErr w:type="spellStart"/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</w:p>
    <w:p w:rsidR="006D7ACF" w:rsidRPr="006D7ACF" w:rsidRDefault="006D7ACF" w:rsidP="006D7AC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перечня проектов народных инициатив на сумму 289,9 </w:t>
      </w:r>
      <w:proofErr w:type="spellStart"/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289,9 </w:t>
      </w:r>
      <w:proofErr w:type="spellStart"/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>, 289,9 тыс. рублей соответственно.</w:t>
      </w:r>
    </w:p>
    <w:p w:rsidR="006D7ACF" w:rsidRPr="006D7ACF" w:rsidRDefault="006D7ACF" w:rsidP="006D7A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CF" w:rsidRPr="006D7ACF" w:rsidRDefault="006D7ACF" w:rsidP="006D7A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CF" w:rsidRPr="006D7ACF" w:rsidRDefault="006D7ACF" w:rsidP="006D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ОСОБЕННОСТИ  РАСЧЕТА ПОСТУПЛЕНИЙ В БЮДЖЕТ МО «ККАМЕНКА» ПО ОТДЕЛЬНЫМ ВИДАМ ДОХОДОВ</w:t>
      </w:r>
    </w:p>
    <w:p w:rsidR="006D7ACF" w:rsidRPr="006D7ACF" w:rsidRDefault="006D7ACF" w:rsidP="006D7A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CF" w:rsidRPr="006D7ACF" w:rsidRDefault="006D7ACF" w:rsidP="006D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Налог на доходы физических лиц 000 1 01 02010 01 0000 110   </w:t>
      </w:r>
    </w:p>
    <w:p w:rsidR="006D7ACF" w:rsidRPr="006D7ACF" w:rsidRDefault="006D7ACF" w:rsidP="006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налога на доходы физических лиц на 2021 год и на плановый период 2022 и 2023 годов запланированы на основе прогнозируемого темпа роста в 2021-2023 годах источника основной части налога - фонда заработной платы по муниципальному образованию «Каменка».</w:t>
      </w:r>
    </w:p>
    <w:p w:rsidR="006D7ACF" w:rsidRPr="006D7ACF" w:rsidRDefault="006D7ACF" w:rsidP="006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поступлений налога в 2021 году составляет 430,0 тыс. рублей (+4,8% к ожидаемым поступлениям 2020 года), в 2022 году – 446,0 тыс. рублей (+3,7% к прогнозируемым  поступлениям 2021 года),  в  2023 году –465 тыс. рублей (+4,2% к прогнозируемым поступлениям 2022 года). </w:t>
      </w:r>
    </w:p>
    <w:p w:rsidR="006D7ACF" w:rsidRPr="006D7ACF" w:rsidRDefault="006D7ACF" w:rsidP="006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D7ACF" w:rsidRPr="006D7ACF" w:rsidRDefault="006D7ACF" w:rsidP="006D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7ACF" w:rsidRPr="006D7ACF" w:rsidRDefault="006D7ACF" w:rsidP="006D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Земельный налог 000 1 06 06000 10 0000 110 </w:t>
      </w:r>
    </w:p>
    <w:p w:rsidR="006D7ACF" w:rsidRPr="006D7ACF" w:rsidRDefault="006D7ACF" w:rsidP="006D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D7A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Прогноз поступлений сумм земельного налога устанавливается главой 31 Налогового кодекса РФ, исходя из кадастровой стоимости оценки земли (определяется в соответствии с земельным законодательством), которая определяется в отношении каждого земельного участка по состоянию на 1 января года, являющегося налоговым периодом и налоговой ставки, установленной Думой муниципального образования «Каменка» – 0,3% и 1,5%. Прогноз </w:t>
      </w:r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поступлений налога в бюджет на 2021 год составит </w:t>
      </w:r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1006,7</w:t>
      </w:r>
      <w:proofErr w:type="gramEnd"/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 (+2,7% к ожидаемым поступлениям 2020 года), в 2022 году – 901,0 тыс. рублей   в  2023 году – 960,0 тыс. рублей</w:t>
      </w:r>
      <w:proofErr w:type="gramStart"/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D7ACF" w:rsidRPr="006D7ACF" w:rsidRDefault="006D7ACF" w:rsidP="006D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7ACF" w:rsidRPr="006D7ACF" w:rsidRDefault="006D7ACF" w:rsidP="006D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Налог на имущество физических лиц 000 1 06 01030 10 0000 110 </w:t>
      </w:r>
    </w:p>
    <w:p w:rsidR="006D7ACF" w:rsidRPr="006D7ACF" w:rsidRDefault="006D7ACF" w:rsidP="006D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доход бюджета муниципального образования подлежит зачислению налог на имущество физических лиц по ставке 0,1-0,31%, в соответствии с главой 32 Налогового Кодекса РФ, исходя из кадастровой стоимости объектов налогообложения. Прогноз </w:t>
      </w:r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поступлений налога в бюджет на 2021 год составит </w:t>
      </w:r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39,0 тыс. рублей (+11,12% к ожидаемым поступлениям 2020 года), в 2022 году – 42,0 тыс. рублей (+7,6% к прогнозируемым  поступлениям 2021 года),  в  2023 году –45,0 тыс. рублей (+7,1% к прогнозируемым поступлениям 2022 года).</w:t>
      </w:r>
    </w:p>
    <w:p w:rsidR="006D7ACF" w:rsidRPr="006D7ACF" w:rsidRDefault="006D7ACF" w:rsidP="006D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7ACF" w:rsidRPr="006D7ACF" w:rsidRDefault="006D7ACF" w:rsidP="006D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Акцизы по подакцизным товарам (продукции), производимым на территории РФ 000 1 03 02000 01 0000 110 </w:t>
      </w:r>
    </w:p>
    <w:p w:rsidR="006D7ACF" w:rsidRPr="006D7ACF" w:rsidRDefault="006D7ACF" w:rsidP="006D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Прогноз зачислений акцизов по подакцизным товарам (продукции) осуществляется на основании прогноза областного бюджета по нормативу 0,020%. Прогноз </w:t>
      </w:r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поступлений налога в бюджет на 2021 год составит </w:t>
      </w:r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1483,0 тыс. рублей</w:t>
      </w:r>
      <w:proofErr w:type="gramStart"/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– 1543,3 тыс. рублей (+4,8% к прогнозируемым  поступлениям 2021 года),  в  2022 году – 1642,8 тыс. рублей </w:t>
      </w:r>
    </w:p>
    <w:p w:rsidR="006D7ACF" w:rsidRPr="006D7ACF" w:rsidRDefault="006D7ACF" w:rsidP="006D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7ACF" w:rsidRPr="006D7ACF" w:rsidRDefault="006D7ACF" w:rsidP="006D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Единый сельскохозяйственный налог </w:t>
      </w:r>
      <w:r w:rsidRPr="006D7AC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000 1 05 00000 10 0000 110 </w:t>
      </w:r>
    </w:p>
    <w:p w:rsidR="006D7ACF" w:rsidRPr="006D7ACF" w:rsidRDefault="006D7ACF" w:rsidP="006D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Pr="006D7A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2021 год планируется в сумме 230,0 </w:t>
      </w:r>
      <w:proofErr w:type="spellStart"/>
      <w:r w:rsidRPr="006D7A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тыс</w:t>
      </w:r>
      <w:proofErr w:type="gramStart"/>
      <w:r w:rsidRPr="006D7A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.р</w:t>
      </w:r>
      <w:proofErr w:type="gramEnd"/>
      <w:r w:rsidRPr="006D7A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ублей</w:t>
      </w:r>
      <w:proofErr w:type="spellEnd"/>
      <w:r w:rsidRPr="006D7A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, на 2022 год- 235,0 </w:t>
      </w:r>
      <w:proofErr w:type="spellStart"/>
      <w:r w:rsidRPr="006D7A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тыс.рублей</w:t>
      </w:r>
      <w:proofErr w:type="spellEnd"/>
      <w:r w:rsidRPr="006D7A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на 2023 год- 240,0 </w:t>
      </w:r>
      <w:proofErr w:type="spellStart"/>
      <w:r w:rsidRPr="006D7A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тыс.рублей</w:t>
      </w:r>
      <w:proofErr w:type="spellEnd"/>
    </w:p>
    <w:p w:rsidR="006D7ACF" w:rsidRPr="006D7ACF" w:rsidRDefault="006D7ACF" w:rsidP="006D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7ACF" w:rsidRPr="006D7ACF" w:rsidRDefault="006D7ACF" w:rsidP="006D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Доходы от использования имущества, находящегося в государственной  и муниципальной собственности  000 1 11 00000 10 0000 120 (</w:t>
      </w:r>
      <w:proofErr w:type="spellStart"/>
      <w:r w:rsidRPr="006D7AC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Арендндная</w:t>
      </w:r>
      <w:proofErr w:type="spellEnd"/>
      <w:r w:rsidRPr="006D7AC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плата за земли сельскохозяйственного назначения) </w:t>
      </w:r>
      <w:r w:rsidRPr="006D7A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2021 год планируется в сумме 694,6 </w:t>
      </w:r>
      <w:proofErr w:type="spellStart"/>
      <w:r w:rsidRPr="006D7A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тыс</w:t>
      </w:r>
      <w:proofErr w:type="gramStart"/>
      <w:r w:rsidRPr="006D7A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.р</w:t>
      </w:r>
      <w:proofErr w:type="gramEnd"/>
      <w:r w:rsidRPr="006D7A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ублей</w:t>
      </w:r>
      <w:proofErr w:type="spellEnd"/>
      <w:r w:rsidRPr="006D7A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 на 2022 год-643,4 тыс. рублей, на 2023 год – 643,4 тысяч рублей.</w:t>
      </w:r>
    </w:p>
    <w:p w:rsidR="006D7ACF" w:rsidRPr="006D7ACF" w:rsidRDefault="006D7ACF" w:rsidP="006D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D7ACF" w:rsidRPr="006D7ACF" w:rsidRDefault="006D7ACF" w:rsidP="006D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Доходы от продажи имущества, находящегося в государственной  и муниципальной собственности  000 1 14 00000 10 0000 430 (Продажа земельных участков сельскохозяйственного назначения) </w:t>
      </w:r>
      <w:r w:rsidRPr="006D7A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2021 год планируется в сумме 1462,9 </w:t>
      </w:r>
      <w:proofErr w:type="spellStart"/>
      <w:r w:rsidRPr="006D7A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тыс</w:t>
      </w:r>
      <w:proofErr w:type="gramStart"/>
      <w:r w:rsidRPr="006D7A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.р</w:t>
      </w:r>
      <w:proofErr w:type="gramEnd"/>
      <w:r w:rsidRPr="006D7A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ублей</w:t>
      </w:r>
      <w:proofErr w:type="spellEnd"/>
      <w:r w:rsidRPr="006D7A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 на 2022 год-0,0 тыс. рублей, на 2023 год – 0,0 тысяч рублей.</w:t>
      </w:r>
    </w:p>
    <w:p w:rsidR="006D7ACF" w:rsidRPr="006D7ACF" w:rsidRDefault="006D7ACF" w:rsidP="006D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D7ACF" w:rsidRPr="006D7ACF" w:rsidRDefault="006D7ACF" w:rsidP="006D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Прочие неналоговые доходы 000 1 17 00000 10 0000 180 </w:t>
      </w:r>
      <w:r w:rsidRPr="006D7A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предусмотрены средства на 2021 год на сумму 235,0 тыс. рублей, на 2022 год – 240,0 тыс. рублей, на 2023 год – 245,0 тыс. рублей.</w:t>
      </w:r>
    </w:p>
    <w:p w:rsidR="006D7ACF" w:rsidRPr="006D7ACF" w:rsidRDefault="006D7ACF" w:rsidP="006D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D7ACF" w:rsidRPr="006D7ACF" w:rsidRDefault="006D7ACF" w:rsidP="006D7ACF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РАСХОДЫ </w:t>
      </w:r>
    </w:p>
    <w:p w:rsidR="006D7ACF" w:rsidRPr="006D7ACF" w:rsidRDefault="006D7ACF" w:rsidP="006D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7ACF" w:rsidRPr="006D7ACF" w:rsidRDefault="006D7ACF" w:rsidP="006D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D7A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Расходы бюджета МО «Каменка» на 2021 год  составляют 18260,7 тыс. рублей, на 2022 год – 16521,0 тыс. рублей, на 2023 год – 16123,7 тыс. рублей. </w:t>
      </w:r>
      <w:proofErr w:type="gramEnd"/>
    </w:p>
    <w:p w:rsidR="006D7ACF" w:rsidRPr="006D7ACF" w:rsidRDefault="006D7ACF" w:rsidP="006D7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Учитывая прогнозируемый объем доходов, дефицит бюджета сложился в сумме на 2021 год – 279,0 тыс. рублей, на 2022 год – 202,0 тыс. рублей, на 2023 год –210,0 тыс. рублей или 5 %  от объема доходов без учета объема безвозмездных поступлений.</w:t>
      </w:r>
    </w:p>
    <w:p w:rsidR="006D7ACF" w:rsidRPr="006D7ACF" w:rsidRDefault="006D7ACF" w:rsidP="006D7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Формирование расходов  бюджета на 2021-20223годы произведено в пределах прогнозируемого объёма доходов.</w:t>
      </w:r>
    </w:p>
    <w:p w:rsidR="006D7ACF" w:rsidRPr="006D7ACF" w:rsidRDefault="006D7ACF" w:rsidP="006D7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Расходы бюджета на 2021-2023гг. рассчитывались  на основе действующего законодательства Российской Федерации и области с учетом разграничения расходных полномочий. </w:t>
      </w:r>
    </w:p>
    <w:p w:rsidR="006D7ACF" w:rsidRPr="006D7ACF" w:rsidRDefault="006D7ACF" w:rsidP="006D7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планировании объемов бюджетных ассигнований учтены следующие приоритетные направления расходов областного бюджета:</w:t>
      </w:r>
    </w:p>
    <w:p w:rsidR="006D7ACF" w:rsidRPr="006D7ACF" w:rsidRDefault="006D7ACF" w:rsidP="006D7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расходы по заработной плате </w:t>
      </w:r>
    </w:p>
    <w:p w:rsidR="006D7ACF" w:rsidRPr="006D7ACF" w:rsidRDefault="006D7ACF" w:rsidP="006D7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sz w:val="24"/>
          <w:szCs w:val="20"/>
          <w:lang w:eastAsia="ru-RU"/>
        </w:rPr>
        <w:t>- объем расходов на муниципальное управление осуществлялось в соответствии с действующей структурой МО «Каменка».</w:t>
      </w:r>
    </w:p>
    <w:p w:rsidR="006D7ACF" w:rsidRPr="006D7ACF" w:rsidRDefault="006D7ACF" w:rsidP="006D7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7ACF" w:rsidRPr="006D7ACF" w:rsidRDefault="006D7ACF" w:rsidP="006D7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Раздел 01 «Общегосударственные вопросы»</w:t>
      </w:r>
    </w:p>
    <w:p w:rsidR="006D7ACF" w:rsidRPr="006D7ACF" w:rsidRDefault="006D7ACF" w:rsidP="006D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7ACF" w:rsidRPr="006D7ACF" w:rsidRDefault="006D7ACF" w:rsidP="006D7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6D7AC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</w:p>
    <w:p w:rsidR="006D7ACF" w:rsidRPr="006D7ACF" w:rsidRDefault="006D7ACF" w:rsidP="006D7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D7AC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По </w:t>
      </w:r>
      <w:r w:rsidRPr="006D7A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данному разделу предусмотрены расходы на содержание Главы администрации муниципального образования «Каменка» (заработную плату и начисление на оплату труда рассчитаны на основании Постановления Правительства Иркутской области №599-пп от 27.11.2014г., решения Думы МО «Каменка» №53 от 22.10.2019г. </w:t>
      </w:r>
      <w:proofErr w:type="gramEnd"/>
    </w:p>
    <w:p w:rsidR="006D7ACF" w:rsidRPr="006D7ACF" w:rsidRDefault="006D7ACF" w:rsidP="006D7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6D7AC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</w:t>
      </w:r>
      <w:r w:rsidRPr="006D7A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ACF" w:rsidRPr="006D7ACF" w:rsidRDefault="006D7ACF" w:rsidP="006D7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разделу предусмотрен объем расходов на обеспечение деятельности администрации МО «Каменка».</w:t>
      </w:r>
    </w:p>
    <w:p w:rsidR="006D7ACF" w:rsidRPr="006D7ACF" w:rsidRDefault="006D7ACF" w:rsidP="006D7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По подразделу 11 «Резервный фонд». </w:t>
      </w:r>
      <w:r w:rsidRPr="006D7A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Определен объем резервного фонда администрации  муниципального образования на 2021-2023 годы в сумме по 9,0 </w:t>
      </w:r>
      <w:proofErr w:type="spellStart"/>
      <w:r w:rsidRPr="006D7ACF">
        <w:rPr>
          <w:rFonts w:ascii="Times New Roman" w:eastAsia="Times New Roman" w:hAnsi="Times New Roman" w:cs="Times New Roman"/>
          <w:sz w:val="24"/>
          <w:szCs w:val="20"/>
          <w:lang w:eastAsia="ru-RU"/>
        </w:rPr>
        <w:t>т.р</w:t>
      </w:r>
      <w:proofErr w:type="spellEnd"/>
      <w:r w:rsidRPr="006D7ACF">
        <w:rPr>
          <w:rFonts w:ascii="Times New Roman" w:eastAsia="Times New Roman" w:hAnsi="Times New Roman" w:cs="Times New Roman"/>
          <w:sz w:val="24"/>
          <w:szCs w:val="20"/>
          <w:lang w:eastAsia="ru-RU"/>
        </w:rPr>
        <w:t>. соответственно.</w:t>
      </w:r>
    </w:p>
    <w:p w:rsidR="006D7ACF" w:rsidRPr="006D7ACF" w:rsidRDefault="006D7ACF" w:rsidP="006D7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По подразделу 13 «Другие общегосударственные вопросы»</w:t>
      </w:r>
      <w:r w:rsidRPr="006D7A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отражены расходы на выполнение функций по общегосударственным вопросам, не отнесенным к другим подразделам данного раздела.</w:t>
      </w:r>
    </w:p>
    <w:p w:rsidR="006D7ACF" w:rsidRPr="006D7ACF" w:rsidRDefault="006D7ACF" w:rsidP="006D7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7ACF" w:rsidRPr="006D7ACF" w:rsidRDefault="006D7ACF" w:rsidP="006D7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Раздел 02 «Национальная оборона»</w:t>
      </w:r>
    </w:p>
    <w:p w:rsidR="006D7ACF" w:rsidRPr="006D7ACF" w:rsidRDefault="006D7ACF" w:rsidP="006D7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6D7ACF" w:rsidRPr="006D7ACF" w:rsidRDefault="006D7ACF" w:rsidP="006D7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По подразделу 03 «Мобилизационная и вневойсковая подготовка» </w:t>
      </w:r>
      <w:proofErr w:type="gramStart"/>
      <w:r w:rsidRPr="006D7ACF">
        <w:rPr>
          <w:rFonts w:ascii="Times New Roman" w:eastAsia="Times New Roman" w:hAnsi="Times New Roman" w:cs="Times New Roman"/>
          <w:sz w:val="24"/>
          <w:szCs w:val="20"/>
          <w:lang w:eastAsia="ru-RU"/>
        </w:rPr>
        <w:t>отражены расходы  на осуществление полномочий по первичному воинскому учету на территориях где отсутствуют</w:t>
      </w:r>
      <w:proofErr w:type="gramEnd"/>
      <w:r w:rsidRPr="006D7A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военные комиссариаты из бюджета Иркутской области за счет средств федерального бюджета.</w:t>
      </w:r>
    </w:p>
    <w:p w:rsidR="006D7ACF" w:rsidRPr="006D7ACF" w:rsidRDefault="006D7ACF" w:rsidP="006D7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Раздел 04 «Национальная экономика»</w:t>
      </w:r>
    </w:p>
    <w:p w:rsidR="006D7ACF" w:rsidRPr="006D7ACF" w:rsidRDefault="006D7ACF" w:rsidP="006D7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6D7ACF" w:rsidRPr="006D7ACF" w:rsidRDefault="006D7ACF" w:rsidP="006D7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По подразделу 01 «Общеэкономические вопросы» </w:t>
      </w:r>
      <w:r w:rsidRPr="006D7ACF">
        <w:rPr>
          <w:rFonts w:ascii="Times New Roman" w:eastAsia="Times New Roman" w:hAnsi="Times New Roman" w:cs="Times New Roman"/>
          <w:sz w:val="24"/>
          <w:szCs w:val="20"/>
          <w:lang w:eastAsia="ru-RU"/>
        </w:rPr>
        <w:t>отражены расходы на осуществление отдельных областных государственных полномочий в сфере водоснабжения и водоотведения.</w:t>
      </w:r>
    </w:p>
    <w:p w:rsidR="006D7ACF" w:rsidRPr="006D7ACF" w:rsidRDefault="006D7ACF" w:rsidP="006D7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По подразделу 04 «Дорожные фонды» отражены расходы </w:t>
      </w:r>
      <w:r w:rsidRPr="006D7ACF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ремонт автомобильных дорог общего пользования, находящихся в ведении МО «Каменка».</w:t>
      </w:r>
    </w:p>
    <w:p w:rsidR="006D7ACF" w:rsidRPr="006D7ACF" w:rsidRDefault="006D7ACF" w:rsidP="006D7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7ACF" w:rsidRPr="006D7ACF" w:rsidRDefault="006D7ACF" w:rsidP="006D7A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Раздел 05 «Жилищно-коммунальное хозяйство»</w:t>
      </w:r>
    </w:p>
    <w:p w:rsidR="006D7ACF" w:rsidRPr="006D7ACF" w:rsidRDefault="006D7ACF" w:rsidP="006D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7ACF" w:rsidRPr="006D7ACF" w:rsidRDefault="006D7ACF" w:rsidP="006D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По подразделу 02 «Коммунальное хозяйство»</w:t>
      </w:r>
      <w:r w:rsidRPr="006D7AC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6D7AC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предусмотрены ассигнования на благоустройство сельского поселения,  содержание и текущий ремонт водокачек. </w:t>
      </w:r>
    </w:p>
    <w:p w:rsidR="006D7ACF" w:rsidRPr="006D7ACF" w:rsidRDefault="006D7ACF" w:rsidP="006D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eastAsia="ru-RU"/>
        </w:rPr>
      </w:pPr>
    </w:p>
    <w:p w:rsidR="006D7ACF" w:rsidRPr="006D7ACF" w:rsidRDefault="006D7ACF" w:rsidP="006D7AC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Раздел 08 «Культура, кинематография, средства массовой информации»</w:t>
      </w:r>
    </w:p>
    <w:p w:rsidR="006D7ACF" w:rsidRPr="006D7ACF" w:rsidRDefault="006D7ACF" w:rsidP="006D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7ACF" w:rsidRPr="006D7ACF" w:rsidRDefault="006D7ACF" w:rsidP="006D7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подразделу 01 «Культура»</w:t>
      </w:r>
      <w:r w:rsidRPr="006D7A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D7A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безвозмездные и безвозвратные перечисления государственным и муниципальным учреждениям (субсидии на выполнение муниципального задания).</w:t>
      </w:r>
    </w:p>
    <w:p w:rsidR="006D7ACF" w:rsidRPr="006D7ACF" w:rsidRDefault="006D7ACF" w:rsidP="006D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6D7ACF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Источники внутреннего финансирования дефицита  бюджета МО «Бохан»</w:t>
      </w:r>
    </w:p>
    <w:p w:rsidR="006D7ACF" w:rsidRPr="006D7ACF" w:rsidRDefault="006D7ACF" w:rsidP="006D7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В   2021-2023гг.  дефицит бюджета составляет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6D7ACF" w:rsidRPr="006D7ACF" w:rsidRDefault="006D7ACF" w:rsidP="006D7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7ACF" w:rsidRPr="006D7ACF" w:rsidRDefault="006D7ACF" w:rsidP="006D7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7ACF" w:rsidRPr="006D7ACF" w:rsidRDefault="006D7ACF" w:rsidP="006D7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ACF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Начальник финансового отдела                                          Середкина  С.В.</w:t>
      </w:r>
    </w:p>
    <w:p w:rsidR="00807FEB" w:rsidRDefault="00807FEB"/>
    <w:sectPr w:rsidR="00807FEB" w:rsidSect="0050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92E"/>
    <w:multiLevelType w:val="hybridMultilevel"/>
    <w:tmpl w:val="40A42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6E"/>
    <w:rsid w:val="000E5781"/>
    <w:rsid w:val="006D7ACF"/>
    <w:rsid w:val="007B05D4"/>
    <w:rsid w:val="00807FEB"/>
    <w:rsid w:val="0081386E"/>
    <w:rsid w:val="00851CC6"/>
    <w:rsid w:val="00E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CC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D7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D7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CC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D7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D7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2391</Words>
  <Characters>13633</Characters>
  <Application>Microsoft Office Word</Application>
  <DocSecurity>0</DocSecurity>
  <Lines>113</Lines>
  <Paragraphs>31</Paragraphs>
  <ScaleCrop>false</ScaleCrop>
  <Company/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2021-05-12T06:46:00Z</dcterms:created>
  <dcterms:modified xsi:type="dcterms:W3CDTF">2021-05-12T07:27:00Z</dcterms:modified>
</cp:coreProperties>
</file>